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F2A9659" w14:textId="723A0692" w:rsidR="0022631D" w:rsidRPr="006076B8" w:rsidRDefault="004C1084" w:rsidP="006E44E3">
      <w:pPr>
        <w:spacing w:before="0"/>
        <w:ind w:left="-180" w:firstLine="180"/>
        <w:jc w:val="both"/>
        <w:rPr>
          <w:rFonts w:ascii="GHEA Grapalat" w:hAnsi="GHEA Grapalat" w:cs="Sylfaen"/>
          <w:color w:val="000000"/>
          <w:sz w:val="4"/>
          <w:lang w:val="af-ZA"/>
        </w:rPr>
      </w:pP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646113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Երևանի Թելմանի անվան թիվ 13 հիմնական դպրոց» ՊՈԱԿ-ի</w:t>
      </w:r>
      <w:r w:rsidR="009011D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011D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նորոգման</w:t>
      </w:r>
      <w:r w:rsidR="009011D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011D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աշխատանքների</w:t>
      </w:r>
      <w:r w:rsidR="009011D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92BEA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C4759" w:rsidRPr="001C475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ՀՀՔԿ-ՀԲՄԱՇՁԲ-</w:t>
      </w:r>
      <w:r w:rsidR="0064611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25/31 </w:t>
      </w:r>
      <w:r w:rsidR="009011D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D031BD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835DE0" w:rsidRPr="00835DE0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F93DEE">
        <w:rPr>
          <w:rFonts w:ascii="GHEA Grapalat" w:eastAsia="Times New Roman" w:hAnsi="GHEA Grapalat" w:cs="Sylfaen"/>
          <w:sz w:val="20"/>
          <w:szCs w:val="20"/>
          <w:lang w:val="af-ZA" w:eastAsia="ru-RU"/>
        </w:rPr>
        <w:t>դեկտ</w:t>
      </w:r>
      <w:r w:rsidR="00B11B3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եմբերի </w:t>
      </w:r>
      <w:r w:rsidR="006E44E3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F93DEE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4B4A29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կնքված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C4759" w:rsidRPr="001C475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ՀՀՔԿ-ՀԲՄԱՇՁԲ-</w:t>
      </w:r>
      <w:r w:rsidR="0064611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25/31 </w:t>
      </w:r>
      <w:r w:rsidR="009011D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tbl>
      <w:tblPr>
        <w:tblW w:w="10800" w:type="dxa"/>
        <w:tblInd w:w="-3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90"/>
        <w:gridCol w:w="664"/>
        <w:gridCol w:w="955"/>
        <w:gridCol w:w="43"/>
        <w:gridCol w:w="146"/>
        <w:gridCol w:w="801"/>
        <w:gridCol w:w="128"/>
        <w:gridCol w:w="572"/>
        <w:gridCol w:w="20"/>
        <w:gridCol w:w="234"/>
        <w:gridCol w:w="145"/>
        <w:gridCol w:w="63"/>
        <w:gridCol w:w="1089"/>
        <w:gridCol w:w="371"/>
        <w:gridCol w:w="346"/>
        <w:gridCol w:w="183"/>
        <w:gridCol w:w="134"/>
        <w:gridCol w:w="398"/>
        <w:gridCol w:w="232"/>
        <w:gridCol w:w="27"/>
        <w:gridCol w:w="109"/>
        <w:gridCol w:w="270"/>
        <w:gridCol w:w="55"/>
        <w:gridCol w:w="35"/>
        <w:gridCol w:w="352"/>
        <w:gridCol w:w="90"/>
        <w:gridCol w:w="98"/>
        <w:gridCol w:w="321"/>
        <w:gridCol w:w="39"/>
        <w:gridCol w:w="597"/>
        <w:gridCol w:w="33"/>
        <w:gridCol w:w="175"/>
        <w:gridCol w:w="386"/>
        <w:gridCol w:w="6"/>
        <w:gridCol w:w="963"/>
      </w:tblGrid>
      <w:tr w:rsidR="0022631D" w:rsidRPr="0022631D" w14:paraId="3BCB0F4A" w14:textId="77777777" w:rsidTr="00646113">
        <w:trPr>
          <w:trHeight w:val="322"/>
        </w:trPr>
        <w:tc>
          <w:tcPr>
            <w:tcW w:w="630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170" w:type="dxa"/>
            <w:gridSpan w:val="35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E349BA" w:rsidRPr="0022631D" w14:paraId="796D388F" w14:textId="77777777" w:rsidTr="00646113">
        <w:trPr>
          <w:trHeight w:val="241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781659E7" w14:textId="0F13217F" w:rsidR="00E349BA" w:rsidRPr="00E4188B" w:rsidRDefault="00E349BA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98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E349BA" w:rsidRPr="00E4188B" w:rsidRDefault="00E349BA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E349BA" w:rsidRPr="0022631D" w:rsidRDefault="00E349BA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14:paraId="59F68B85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70" w:type="dxa"/>
            <w:gridSpan w:val="9"/>
            <w:shd w:val="clear" w:color="auto" w:fill="auto"/>
            <w:vAlign w:val="center"/>
          </w:tcPr>
          <w:p w14:paraId="62535C49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20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E349BA" w:rsidRPr="0022631D" w:rsidRDefault="00E349BA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530" w:type="dxa"/>
            <w:gridSpan w:val="4"/>
            <w:vMerge w:val="restart"/>
            <w:shd w:val="clear" w:color="auto" w:fill="auto"/>
            <w:vAlign w:val="center"/>
          </w:tcPr>
          <w:p w14:paraId="5D289872" w14:textId="77777777" w:rsidR="00E349BA" w:rsidRPr="0022631D" w:rsidRDefault="00E349BA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E349BA" w:rsidRPr="0022631D" w14:paraId="02BE1D52" w14:textId="77777777" w:rsidTr="00646113">
        <w:trPr>
          <w:trHeight w:val="295"/>
        </w:trPr>
        <w:tc>
          <w:tcPr>
            <w:tcW w:w="630" w:type="dxa"/>
            <w:vMerge/>
            <w:shd w:val="clear" w:color="auto" w:fill="auto"/>
            <w:vAlign w:val="center"/>
          </w:tcPr>
          <w:p w14:paraId="6E1FBC69" w14:textId="77777777" w:rsidR="00E349BA" w:rsidRPr="0022631D" w:rsidRDefault="00E349B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98" w:type="dxa"/>
            <w:gridSpan w:val="5"/>
            <w:vMerge/>
            <w:shd w:val="clear" w:color="auto" w:fill="auto"/>
            <w:vAlign w:val="center"/>
          </w:tcPr>
          <w:p w14:paraId="528BE8BA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297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E349BA" w:rsidRPr="0022631D" w:rsidRDefault="00E349BA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70" w:type="dxa"/>
            <w:gridSpan w:val="9"/>
            <w:shd w:val="clear" w:color="auto" w:fill="auto"/>
            <w:vAlign w:val="center"/>
          </w:tcPr>
          <w:p w14:paraId="01CC38D9" w14:textId="77777777" w:rsidR="00E349BA" w:rsidRPr="0022631D" w:rsidRDefault="00E349B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20" w:type="dxa"/>
            <w:gridSpan w:val="9"/>
            <w:vMerge/>
            <w:shd w:val="clear" w:color="auto" w:fill="auto"/>
          </w:tcPr>
          <w:p w14:paraId="12AD9841" w14:textId="77777777" w:rsidR="00E349BA" w:rsidRPr="0022631D" w:rsidRDefault="00E349B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4"/>
            <w:vMerge/>
            <w:shd w:val="clear" w:color="auto" w:fill="auto"/>
          </w:tcPr>
          <w:p w14:paraId="28B6AAAB" w14:textId="77777777" w:rsidR="00E349BA" w:rsidRPr="0022631D" w:rsidRDefault="00E349B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646113">
        <w:trPr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620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C4759" w:rsidRPr="00835DE0" w14:paraId="6CB0AC86" w14:textId="77777777" w:rsidTr="00646113">
        <w:trPr>
          <w:trHeight w:val="1258"/>
        </w:trPr>
        <w:tc>
          <w:tcPr>
            <w:tcW w:w="630" w:type="dxa"/>
            <w:shd w:val="clear" w:color="auto" w:fill="auto"/>
            <w:vAlign w:val="center"/>
          </w:tcPr>
          <w:p w14:paraId="62F33415" w14:textId="77777777" w:rsidR="001C4759" w:rsidRPr="00540D7B" w:rsidRDefault="001C4759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8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94013B0" w:rsidR="001C4759" w:rsidRPr="00540D7B" w:rsidRDefault="00646113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Երևանի Թելմանի անվան թիվ 13 հիմնական դպրոց» ՊՈԱԿ-ի</w:t>
            </w:r>
            <w:r w:rsidR="009011D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նորոգման աշխատանքներ 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1C4759" w:rsidRPr="00540D7B" w:rsidRDefault="001C4759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0D97B5CF" w:rsidR="001C4759" w:rsidRPr="00F25179" w:rsidRDefault="009011D3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2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1DA7898" w:rsidR="001C4759" w:rsidRPr="00540D7B" w:rsidRDefault="001C4759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1E345" w14:textId="7D6D5546" w:rsidR="001C4759" w:rsidRPr="00F25179" w:rsidRDefault="009011D3" w:rsidP="00E349B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1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15FCCDCC" w:rsidR="001C4759" w:rsidRPr="00540D7B" w:rsidRDefault="00646113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64611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416 543 210</w:t>
            </w:r>
          </w:p>
        </w:tc>
        <w:tc>
          <w:tcPr>
            <w:tcW w:w="16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25E929FD" w:rsidR="001C4759" w:rsidRPr="00540D7B" w:rsidRDefault="00646113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Երևանի Թելմանի անվան թիվ 13 հիմնական դպրոց» ՊՈԱԿ-ի</w:t>
            </w:r>
            <w:r w:rsidR="009011D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նորոգման աշխատանքներ </w:t>
            </w:r>
          </w:p>
        </w:tc>
        <w:tc>
          <w:tcPr>
            <w:tcW w:w="15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16A3BE1" w:rsidR="001C4759" w:rsidRPr="00540D7B" w:rsidRDefault="00646113" w:rsidP="001C47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Երևանի Թելմանի անվան թիվ 13 հիմնական դպրոց» ՊՈԱԿ-ի</w:t>
            </w:r>
            <w:r w:rsidR="009011D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նորոգման աշխատանքներ </w:t>
            </w:r>
          </w:p>
        </w:tc>
      </w:tr>
      <w:tr w:rsidR="00140411" w:rsidRPr="00835DE0" w14:paraId="4B8BC031" w14:textId="77777777" w:rsidTr="00646113">
        <w:trPr>
          <w:trHeight w:val="169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451180EC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af-ZA" w:eastAsia="ru-RU"/>
              </w:rPr>
            </w:pPr>
          </w:p>
        </w:tc>
      </w:tr>
      <w:tr w:rsidR="00140411" w:rsidRPr="00835DE0" w14:paraId="24C3B0CB" w14:textId="77777777" w:rsidTr="00646113">
        <w:trPr>
          <w:trHeight w:val="430"/>
        </w:trPr>
        <w:tc>
          <w:tcPr>
            <w:tcW w:w="449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0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131387C" w:rsidR="00140411" w:rsidRPr="00835DE0" w:rsidRDefault="00140411" w:rsidP="001C475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&lt;&lt;Գնումների մասին&gt;&gt; ՀՀ օրենքի</w:t>
            </w:r>
            <w:r w:rsidR="001C4759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20</w:t>
            </w: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-րդ հոդվածի</w:t>
            </w:r>
            <w:r w:rsidR="006D1F6D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="001C4759">
              <w:rPr>
                <w:rFonts w:ascii="GHEA Grapalat" w:hAnsi="GHEA Grapalat"/>
                <w:b/>
                <w:sz w:val="14"/>
                <w:szCs w:val="14"/>
                <w:lang w:val="af-ZA"/>
              </w:rPr>
              <w:t>4</w:t>
            </w: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-րդ</w:t>
            </w:r>
            <w:r w:rsidR="00045515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մաս</w:t>
            </w:r>
          </w:p>
        </w:tc>
      </w:tr>
      <w:tr w:rsidR="00140411" w:rsidRPr="00835DE0" w14:paraId="075EEA57" w14:textId="77777777" w:rsidTr="00646113">
        <w:trPr>
          <w:trHeight w:val="196"/>
        </w:trPr>
        <w:tc>
          <w:tcPr>
            <w:tcW w:w="1080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140411" w:rsidRPr="0022631D" w14:paraId="681596E8" w14:textId="77777777" w:rsidTr="006461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2"/>
        </w:trPr>
        <w:tc>
          <w:tcPr>
            <w:tcW w:w="727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835DE0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835DE0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529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EBB11D1" w:rsidR="00140411" w:rsidRPr="0022631D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06.11</w:t>
            </w:r>
            <w:r w:rsidR="002126ED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.202</w:t>
            </w:r>
            <w:r w:rsidR="004C5687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5</w:t>
            </w:r>
            <w:r w:rsidR="00140411" w:rsidRPr="00161F68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թ.</w:t>
            </w:r>
          </w:p>
        </w:tc>
      </w:tr>
      <w:tr w:rsidR="00140411" w:rsidRPr="0022631D" w14:paraId="199F948A" w14:textId="77777777" w:rsidTr="006461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2"/>
        </w:trPr>
        <w:tc>
          <w:tcPr>
            <w:tcW w:w="6614" w:type="dxa"/>
            <w:gridSpan w:val="1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1CDD4E2C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5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688096FE" w:rsidR="00140411" w:rsidRPr="0022631D" w:rsidRDefault="00140411" w:rsidP="0035219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13FE412E" w14:textId="77777777" w:rsidTr="006461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2"/>
        </w:trPr>
        <w:tc>
          <w:tcPr>
            <w:tcW w:w="661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4E4BB7" w:rsidRPr="0022631D" w:rsidRDefault="004E4BB7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4E4BB7" w:rsidRPr="0022631D" w:rsidRDefault="004E4BB7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4E4BB7" w:rsidRPr="0022631D" w:rsidRDefault="004E4BB7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1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4E4BB7" w:rsidRPr="0022631D" w:rsidRDefault="004E4BB7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4E4BB7" w:rsidRPr="0022631D" w14:paraId="321D26CF" w14:textId="77777777" w:rsidTr="006461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61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4E4BB7" w:rsidRPr="0022631D" w:rsidRDefault="004E4BB7" w:rsidP="00963C4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C89B982" w:rsidR="004E4BB7" w:rsidRPr="0022631D" w:rsidRDefault="004E4BB7" w:rsidP="00963C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CA0BD49" w:rsidR="004E4BB7" w:rsidRPr="0022631D" w:rsidRDefault="004E4BB7" w:rsidP="009D49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10CA19B" w:rsidR="004E4BB7" w:rsidRPr="0022631D" w:rsidRDefault="004E4BB7" w:rsidP="00963C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30B89418" w14:textId="77777777" w:rsidTr="00646113">
        <w:trPr>
          <w:trHeight w:val="54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70776DB4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10DC4861" w14:textId="77777777" w:rsidTr="00646113">
        <w:trPr>
          <w:trHeight w:val="502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665" w:type="dxa"/>
            <w:gridSpan w:val="7"/>
            <w:vMerge w:val="restart"/>
            <w:shd w:val="clear" w:color="auto" w:fill="auto"/>
            <w:vAlign w:val="center"/>
          </w:tcPr>
          <w:p w14:paraId="4FE503E7" w14:textId="29F83DA2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751" w:type="dxa"/>
            <w:gridSpan w:val="26"/>
            <w:shd w:val="clear" w:color="auto" w:fill="auto"/>
            <w:vAlign w:val="center"/>
          </w:tcPr>
          <w:p w14:paraId="1FD38684" w14:textId="2B462658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4E4BB7" w:rsidRPr="0022631D" w14:paraId="3FD00E3A" w14:textId="77777777" w:rsidTr="00646113">
        <w:trPr>
          <w:trHeight w:val="277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67E5DBFB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65" w:type="dxa"/>
            <w:gridSpan w:val="7"/>
            <w:vMerge/>
            <w:shd w:val="clear" w:color="auto" w:fill="auto"/>
            <w:vAlign w:val="center"/>
          </w:tcPr>
          <w:p w14:paraId="7835142E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63" w:type="dxa"/>
            <w:gridSpan w:val="9"/>
            <w:shd w:val="clear" w:color="auto" w:fill="auto"/>
            <w:vAlign w:val="center"/>
          </w:tcPr>
          <w:p w14:paraId="27542D69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433" w:type="dxa"/>
            <w:gridSpan w:val="14"/>
            <w:shd w:val="clear" w:color="auto" w:fill="auto"/>
            <w:vAlign w:val="center"/>
          </w:tcPr>
          <w:p w14:paraId="635EE2FE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14:paraId="4A371FE9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646113" w:rsidRPr="00EF7226" w14:paraId="20F4F6D4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3BE88E01" w14:textId="769E0D16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61377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7CF5" w14:textId="77777777" w:rsidR="00646113" w:rsidRPr="00F93DEE" w:rsidRDefault="00646113" w:rsidP="00646113">
            <w:pPr>
              <w:pStyle w:val="BodyText2"/>
              <w:tabs>
                <w:tab w:val="left" w:pos="540"/>
              </w:tabs>
              <w:jc w:val="center"/>
              <w:rPr>
                <w:rFonts w:ascii="GHEA Grapalat" w:eastAsia="Calibri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F93DEE">
              <w:rPr>
                <w:rFonts w:ascii="GHEA Grapalat" w:eastAsia="Calibri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ab/>
            </w:r>
          </w:p>
          <w:p w14:paraId="639C8784" w14:textId="5EEFB651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Սոլիդ-Քոնսթրաքշն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»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B3EA" w14:textId="3F1FC1A9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285 000 000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D22" w14:textId="1FA99887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57 000 000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2DF" w14:textId="5543F189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342 000 000</w:t>
            </w:r>
          </w:p>
        </w:tc>
      </w:tr>
      <w:tr w:rsidR="00646113" w:rsidRPr="00EF7226" w14:paraId="2EA861B9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2F658FC1" w14:textId="2649AD57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BCC6" w14:textId="2D32303F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«ՏԻԿ ԿԱՊԻՏԱԼՍ»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D3B8" w14:textId="2A95FC3F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293 000 000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00E1" w14:textId="56FAD0C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58 600 000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72B5" w14:textId="6F295975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351 600 000</w:t>
            </w:r>
          </w:p>
        </w:tc>
      </w:tr>
      <w:tr w:rsidR="00646113" w:rsidRPr="00EF7226" w14:paraId="6D95C137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79FFF2CE" w14:textId="738BAFA1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C9DC" w14:textId="7971AD29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«ՇԻՆ ԲԱՐԵԿԱՐԳՈՒՄ»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F508" w14:textId="2059C98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296 666 667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1457" w14:textId="2F95FD5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59 333 333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1EAE" w14:textId="2825BC24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356 000 000</w:t>
            </w:r>
          </w:p>
        </w:tc>
      </w:tr>
      <w:tr w:rsidR="00646113" w:rsidRPr="00EF7226" w14:paraId="4BF54102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24E448C3" w14:textId="50DDA933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35E2" w14:textId="190CFAA7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«ԱՇԿԱՐ» 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FF28" w14:textId="4AAF855F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301 991 600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9C7D" w14:textId="4A9C749D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60 398 320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4418" w14:textId="6F328279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362 389 920</w:t>
            </w:r>
          </w:p>
        </w:tc>
      </w:tr>
      <w:tr w:rsidR="00646113" w:rsidRPr="00EF7226" w14:paraId="6F4E7C15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6D84F3E7" w14:textId="62B0F127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CC9F" w14:textId="21F89CC8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«ՍՄ 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Պրոդակշն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», «ԵՎՐՈՍՏՐՈՅ», «ԳՈԼԴ ԼԱՅԹ» ՍՊԸ-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ների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կոնսորցիում</w:t>
            </w:r>
            <w:proofErr w:type="spellEnd"/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B238" w14:textId="7FC45B2F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307 083 333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12F7" w14:textId="2AEB0466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61 416 667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7B0C" w14:textId="15148D4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368 500 000</w:t>
            </w:r>
          </w:p>
        </w:tc>
      </w:tr>
      <w:tr w:rsidR="00646113" w:rsidRPr="00EF7226" w14:paraId="27B0E3FD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2EEA8FCE" w14:textId="39204706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90D9" w14:textId="59A35C67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«ՄԱՐԿՈ ԳՐՈՒՊ 7» և «123» ՍՊԸ-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ների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կոնսորցիում</w:t>
            </w:r>
            <w:proofErr w:type="spellEnd"/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BD2" w14:textId="507DB16B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310 833 333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FBD9" w14:textId="010C25AD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62 166 667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9563" w14:textId="4A0DFC1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373 000 000</w:t>
            </w:r>
          </w:p>
        </w:tc>
      </w:tr>
      <w:tr w:rsidR="00646113" w:rsidRPr="00EF7226" w14:paraId="460A0D56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43408EB2" w14:textId="26519390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7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1D2E" w14:textId="6B1CBAA6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«ՊՐՈՄ ԳՐՈՒՊ»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315F" w14:textId="158DF36D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322 820 000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E42C" w14:textId="01C06A74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64 564 000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63F1" w14:textId="4DC08D0D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387 384 000</w:t>
            </w:r>
          </w:p>
        </w:tc>
      </w:tr>
      <w:tr w:rsidR="00646113" w:rsidRPr="00EF7226" w14:paraId="6C2882A0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51FF58D7" w14:textId="2296C1BF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8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10B0" w14:textId="48316D56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Ռեմ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Տեխնիկ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»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0EF3" w14:textId="6EF00C4E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329 763 000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400A" w14:textId="0A15025A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65 952 600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AF94" w14:textId="6307ED77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395 715 600</w:t>
            </w:r>
          </w:p>
        </w:tc>
      </w:tr>
      <w:tr w:rsidR="00646113" w:rsidRPr="00EF7226" w14:paraId="74A0B3D2" w14:textId="77777777" w:rsidTr="00723374">
        <w:trPr>
          <w:trHeight w:val="385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3EA20DC8" w14:textId="0C938C57" w:rsidR="00646113" w:rsidRPr="0061377C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9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8786" w14:textId="2B3C5FF9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</w:t>
            </w:r>
            <w:proofErr w:type="spellStart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Բիդեք</w:t>
            </w:r>
            <w:proofErr w:type="spellEnd"/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»  ՍՊԸ</w:t>
            </w:r>
          </w:p>
        </w:tc>
        <w:tc>
          <w:tcPr>
            <w:tcW w:w="29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FFA9" w14:textId="422DE5F7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387 000 000</w:t>
            </w:r>
          </w:p>
        </w:tc>
        <w:tc>
          <w:tcPr>
            <w:tcW w:w="2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EA63" w14:textId="75DC189B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77 400 000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9256" w14:textId="17A8F762" w:rsidR="00646113" w:rsidRPr="00F93DEE" w:rsidRDefault="00646113" w:rsidP="006461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464 400 000</w:t>
            </w:r>
          </w:p>
        </w:tc>
      </w:tr>
      <w:tr w:rsidR="00EF7226" w:rsidRPr="0022631D" w14:paraId="700CD07F" w14:textId="77777777" w:rsidTr="00646113">
        <w:trPr>
          <w:trHeight w:val="52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10ED060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521126E1" w14:textId="77777777" w:rsidTr="00646113">
        <w:trPr>
          <w:trHeight w:val="295"/>
        </w:trPr>
        <w:tc>
          <w:tcPr>
            <w:tcW w:w="1080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0AC04AD6" w:rsidR="00EF7226" w:rsidRPr="00FA0328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Տվյալներ մերժված հայտերի մասին</w:t>
            </w:r>
          </w:p>
        </w:tc>
      </w:tr>
      <w:tr w:rsidR="00EF7226" w:rsidRPr="0022631D" w14:paraId="552679BF" w14:textId="77777777" w:rsidTr="005D4AFE">
        <w:trPr>
          <w:trHeight w:val="115"/>
        </w:trPr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62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անվանումը</w:t>
            </w:r>
            <w:proofErr w:type="spellEnd"/>
          </w:p>
        </w:tc>
        <w:tc>
          <w:tcPr>
            <w:tcW w:w="841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EF7226" w:rsidRPr="0022631D" w14:paraId="3CA6FABC" w14:textId="77777777" w:rsidTr="00646113">
        <w:trPr>
          <w:trHeight w:val="1123"/>
        </w:trPr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6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94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EF7226" w:rsidRPr="0022631D" w14:paraId="522ACAFB" w14:textId="77777777" w:rsidTr="00646113">
        <w:trPr>
          <w:trHeight w:val="160"/>
        </w:trPr>
        <w:tc>
          <w:tcPr>
            <w:tcW w:w="2382" w:type="dxa"/>
            <w:gridSpan w:val="5"/>
            <w:shd w:val="clear" w:color="auto" w:fill="auto"/>
            <w:vAlign w:val="center"/>
          </w:tcPr>
          <w:p w14:paraId="514F7E40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18" w:type="dxa"/>
            <w:gridSpan w:val="31"/>
            <w:shd w:val="clear" w:color="auto" w:fill="auto"/>
            <w:vAlign w:val="center"/>
          </w:tcPr>
          <w:p w14:paraId="71AB42B3" w14:textId="7A25D368" w:rsidR="0013776F" w:rsidRPr="0013776F" w:rsidRDefault="00EF7226" w:rsidP="00AF2B2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13776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Ծանոթություն</w:t>
            </w:r>
          </w:p>
        </w:tc>
      </w:tr>
      <w:tr w:rsidR="00EF7226" w:rsidRPr="0022631D" w14:paraId="617248CD" w14:textId="77777777" w:rsidTr="00646113">
        <w:trPr>
          <w:trHeight w:val="97"/>
        </w:trPr>
        <w:tc>
          <w:tcPr>
            <w:tcW w:w="1080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1515C769" w14:textId="77777777" w:rsidTr="00646113">
        <w:trPr>
          <w:trHeight w:val="337"/>
        </w:trPr>
        <w:tc>
          <w:tcPr>
            <w:tcW w:w="55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22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137133F" w:rsidR="00EF7226" w:rsidRPr="0022631D" w:rsidRDefault="00DF5A30" w:rsidP="00CB0BF9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CB0B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bookmarkStart w:id="0" w:name="_GoBack"/>
            <w:bookmarkEnd w:id="0"/>
            <w:r w:rsidR="00C03E0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2E7FD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71BEA872" w14:textId="77777777" w:rsidTr="00646113">
        <w:trPr>
          <w:trHeight w:val="399"/>
        </w:trPr>
        <w:tc>
          <w:tcPr>
            <w:tcW w:w="5580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2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1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4B64A093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DF5A30" w:rsidRPr="0022631D" w14:paraId="04C80107" w14:textId="77777777" w:rsidTr="00DF5A30">
        <w:trPr>
          <w:trHeight w:val="374"/>
        </w:trPr>
        <w:tc>
          <w:tcPr>
            <w:tcW w:w="558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F5A30" w:rsidRPr="0022631D" w:rsidRDefault="00DF5A30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6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A5D9A1" w14:textId="402C815C" w:rsidR="00DF5A30" w:rsidRPr="0022631D" w:rsidRDefault="00DF5A30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28.11.2025թ.</w:t>
            </w:r>
          </w:p>
        </w:tc>
        <w:tc>
          <w:tcPr>
            <w:tcW w:w="21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ACA32CF" w:rsidR="00DF5A30" w:rsidRPr="0022631D" w:rsidRDefault="00DF5A30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07.12.2025թ.</w:t>
            </w:r>
          </w:p>
        </w:tc>
      </w:tr>
      <w:tr w:rsidR="00EF7226" w:rsidRPr="0022631D" w14:paraId="2254FA5C" w14:textId="77777777" w:rsidTr="00646113">
        <w:trPr>
          <w:trHeight w:val="475"/>
        </w:trPr>
        <w:tc>
          <w:tcPr>
            <w:tcW w:w="10800" w:type="dxa"/>
            <w:gridSpan w:val="3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0931A2B9" w:rsidR="00EF7226" w:rsidRPr="002D12A5" w:rsidRDefault="00EF7226" w:rsidP="00F93DE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</w:t>
            </w:r>
            <w:r w:rsidR="00313FDF" w:rsidRPr="00313FD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F93D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</w:t>
            </w:r>
            <w:r w:rsidR="004812B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C03E0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F93D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635735" w:rsidRPr="006357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 w:rsidR="00635735" w:rsidRPr="006357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3C75DA26" w14:textId="77777777" w:rsidTr="00646113">
        <w:trPr>
          <w:trHeight w:val="475"/>
        </w:trPr>
        <w:tc>
          <w:tcPr>
            <w:tcW w:w="55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22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891A476" w:rsidR="00EF7226" w:rsidRPr="002D12A5" w:rsidRDefault="00C03E0D" w:rsidP="00F93D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F93D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E349B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.1</w:t>
            </w:r>
            <w:r w:rsidR="00F93D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946F5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0682C6BE" w14:textId="77777777" w:rsidTr="00646113">
        <w:trPr>
          <w:trHeight w:val="349"/>
        </w:trPr>
        <w:tc>
          <w:tcPr>
            <w:tcW w:w="55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EF7226" w:rsidRPr="004B4A29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22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BA43D61" w:rsidR="00EF7226" w:rsidRPr="002D12A5" w:rsidRDefault="00E349BA" w:rsidP="00F93D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F93D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5.12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946F5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79A64497" w14:textId="77777777" w:rsidTr="00646113">
        <w:trPr>
          <w:trHeight w:val="288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620F225D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4E4EA255" w14:textId="77777777" w:rsidTr="00646113"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19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61" w:type="dxa"/>
            <w:gridSpan w:val="32"/>
            <w:shd w:val="clear" w:color="auto" w:fill="auto"/>
            <w:vAlign w:val="center"/>
          </w:tcPr>
          <w:p w14:paraId="0A5086C3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EF7226" w:rsidRPr="0022631D" w14:paraId="11F19FA1" w14:textId="77777777" w:rsidTr="00646113">
        <w:trPr>
          <w:trHeight w:val="237"/>
        </w:trPr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39B67943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19" w:type="dxa"/>
            <w:gridSpan w:val="2"/>
            <w:vMerge/>
            <w:shd w:val="clear" w:color="auto" w:fill="auto"/>
            <w:vAlign w:val="center"/>
          </w:tcPr>
          <w:p w14:paraId="2856C5C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3"/>
            <w:vMerge w:val="restart"/>
            <w:shd w:val="clear" w:color="auto" w:fill="auto"/>
            <w:vAlign w:val="center"/>
          </w:tcPr>
          <w:p w14:paraId="7E70E64E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20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09" w:type="dxa"/>
            <w:gridSpan w:val="7"/>
            <w:vMerge w:val="restart"/>
            <w:shd w:val="clear" w:color="auto" w:fill="auto"/>
            <w:vAlign w:val="center"/>
          </w:tcPr>
          <w:p w14:paraId="58A33AC2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14:paraId="0911FBB2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EF7226" w:rsidRPr="0022631D" w14:paraId="4DC53241" w14:textId="77777777" w:rsidTr="00646113">
        <w:trPr>
          <w:trHeight w:val="238"/>
        </w:trPr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7D858D4B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19" w:type="dxa"/>
            <w:gridSpan w:val="2"/>
            <w:vMerge/>
            <w:shd w:val="clear" w:color="auto" w:fill="auto"/>
            <w:vAlign w:val="center"/>
          </w:tcPr>
          <w:p w14:paraId="078A8417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shd w:val="clear" w:color="auto" w:fill="auto"/>
            <w:vAlign w:val="center"/>
          </w:tcPr>
          <w:p w14:paraId="7FDD9C22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0" w:type="dxa"/>
            <w:gridSpan w:val="6"/>
            <w:vMerge/>
            <w:shd w:val="clear" w:color="auto" w:fill="auto"/>
            <w:vAlign w:val="center"/>
          </w:tcPr>
          <w:p w14:paraId="73BBD2A3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9" w:type="dxa"/>
            <w:gridSpan w:val="7"/>
            <w:vMerge/>
            <w:shd w:val="clear" w:color="auto" w:fill="auto"/>
            <w:vAlign w:val="center"/>
          </w:tcPr>
          <w:p w14:paraId="078CB506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14:paraId="3C0959C2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EF7226" w:rsidRPr="0022631D" w14:paraId="75FDA7D8" w14:textId="77777777" w:rsidTr="00646113">
        <w:trPr>
          <w:trHeight w:val="655"/>
        </w:trPr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585180" w:rsidRPr="0022631D" w14:paraId="1E28D31D" w14:textId="77777777" w:rsidTr="00646113">
        <w:trPr>
          <w:trHeight w:val="961"/>
        </w:trPr>
        <w:tc>
          <w:tcPr>
            <w:tcW w:w="720" w:type="dxa"/>
            <w:gridSpan w:val="2"/>
            <w:shd w:val="clear" w:color="auto" w:fill="auto"/>
            <w:vAlign w:val="center"/>
          </w:tcPr>
          <w:p w14:paraId="1F1D10DE" w14:textId="5A5E5373" w:rsidR="00585180" w:rsidRPr="00DC48D8" w:rsidRDefault="0058518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C48D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619" w:type="dxa"/>
            <w:gridSpan w:val="2"/>
            <w:shd w:val="clear" w:color="auto" w:fill="auto"/>
            <w:vAlign w:val="center"/>
          </w:tcPr>
          <w:p w14:paraId="391CD0D1" w14:textId="0830493E" w:rsidR="00585180" w:rsidRPr="00E41F2A" w:rsidRDefault="00DF5A3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«Սոլիդ-Քոնսթրաքշն»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7D8D57DD" w:rsidR="00585180" w:rsidRPr="00E41F2A" w:rsidRDefault="0058518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41F2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ՀՀՔԿ-ՀԲՄԱՇՁԲ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  <w:r w:rsidR="0064611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25/31 </w:t>
            </w:r>
          </w:p>
        </w:tc>
        <w:tc>
          <w:tcPr>
            <w:tcW w:w="1523" w:type="dxa"/>
            <w:gridSpan w:val="3"/>
            <w:shd w:val="clear" w:color="auto" w:fill="auto"/>
            <w:vAlign w:val="center"/>
          </w:tcPr>
          <w:p w14:paraId="54F54951" w14:textId="7B58BAAD" w:rsidR="00585180" w:rsidRPr="00E41F2A" w:rsidRDefault="00585180" w:rsidP="00F93D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  <w:r w:rsid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.1</w:t>
            </w:r>
            <w:r w:rsid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</w:t>
            </w:r>
            <w:r w:rsidRPr="00E41F2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2025թ.</w:t>
            </w:r>
          </w:p>
        </w:tc>
        <w:tc>
          <w:tcPr>
            <w:tcW w:w="1320" w:type="dxa"/>
            <w:gridSpan w:val="6"/>
            <w:shd w:val="clear" w:color="auto" w:fill="auto"/>
            <w:vAlign w:val="center"/>
          </w:tcPr>
          <w:p w14:paraId="610A7BBF" w14:textId="2644FBCC" w:rsidR="00585180" w:rsidRPr="00E41F2A" w:rsidRDefault="00585180" w:rsidP="00F93D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Պ</w:t>
            </w:r>
            <w:r w:rsidRPr="004455B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այմանագիրն ուժի մեջ մտնելուց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հետո</w:t>
            </w:r>
            <w:r w:rsidRPr="004455B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  <w:r w:rsid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8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 օրացուցային</w:t>
            </w:r>
            <w:r w:rsidRPr="00E41F2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օր</w:t>
            </w:r>
          </w:p>
        </w:tc>
        <w:tc>
          <w:tcPr>
            <w:tcW w:w="1009" w:type="dxa"/>
            <w:gridSpan w:val="7"/>
            <w:shd w:val="clear" w:color="auto" w:fill="auto"/>
            <w:vAlign w:val="center"/>
          </w:tcPr>
          <w:p w14:paraId="6A3A27A0" w14:textId="42FA4A95" w:rsidR="00585180" w:rsidRPr="00E41F2A" w:rsidRDefault="00585180" w:rsidP="00585180">
            <w:pPr>
              <w:widowControl w:val="0"/>
              <w:spacing w:before="0" w:after="0"/>
              <w:ind w:left="-83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551" w:type="dxa"/>
            <w:gridSpan w:val="6"/>
            <w:shd w:val="clear" w:color="auto" w:fill="auto"/>
            <w:vAlign w:val="center"/>
          </w:tcPr>
          <w:p w14:paraId="540F0BC7" w14:textId="192FB122" w:rsidR="00585180" w:rsidRPr="00E41F2A" w:rsidRDefault="0058518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043A549" w14:textId="49860258" w:rsidR="00585180" w:rsidRPr="00E41F2A" w:rsidRDefault="00F93DEE" w:rsidP="00F93D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342 000 000</w:t>
            </w:r>
          </w:p>
        </w:tc>
      </w:tr>
      <w:tr w:rsidR="00585180" w:rsidRPr="0022631D" w14:paraId="41E4ED39" w14:textId="77777777" w:rsidTr="00646113">
        <w:trPr>
          <w:trHeight w:val="412"/>
        </w:trPr>
        <w:tc>
          <w:tcPr>
            <w:tcW w:w="10800" w:type="dxa"/>
            <w:gridSpan w:val="36"/>
            <w:shd w:val="clear" w:color="auto" w:fill="auto"/>
            <w:vAlign w:val="center"/>
          </w:tcPr>
          <w:p w14:paraId="7265AE84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85180" w:rsidRPr="0022631D" w14:paraId="1F657639" w14:textId="77777777" w:rsidTr="00646113">
        <w:trPr>
          <w:trHeight w:val="682"/>
        </w:trPr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32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0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585180" w:rsidRPr="00946F51" w14:paraId="20BC55B9" w14:textId="77777777" w:rsidTr="00646113">
        <w:trPr>
          <w:trHeight w:val="790"/>
        </w:trPr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585180" w:rsidRPr="00FA7D91" w:rsidRDefault="0058518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A7D9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6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3DB525E7" w:rsidR="00585180" w:rsidRPr="00DC48D8" w:rsidRDefault="00DF5A3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«Սոլիդ-Քոնսթրաքշն» ՍՊԸ</w:t>
            </w:r>
          </w:p>
        </w:tc>
        <w:tc>
          <w:tcPr>
            <w:tcW w:w="32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24197EE" w:rsidR="00585180" w:rsidRPr="00946F51" w:rsidRDefault="00DF5A3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, Արարատի մարզ , գ.Ոստան, Մայիսյան 77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, </w:t>
            </w: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098 50 50 40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, 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11898DFF" w:rsidR="00585180" w:rsidRPr="00946F51" w:rsidRDefault="00DF5A30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solidconsruction@mail.ru</w:t>
            </w:r>
          </w:p>
        </w:tc>
        <w:tc>
          <w:tcPr>
            <w:tcW w:w="20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2676B71C" w:rsidR="00585180" w:rsidRPr="00946F51" w:rsidRDefault="00F93DEE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220013335272000</w:t>
            </w: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21CED8ED" w:rsidR="00585180" w:rsidRPr="00946F51" w:rsidRDefault="00F93DEE" w:rsidP="00585180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04221502</w:t>
            </w:r>
          </w:p>
        </w:tc>
      </w:tr>
      <w:tr w:rsidR="00585180" w:rsidRPr="00946F51" w14:paraId="496A046D" w14:textId="77777777" w:rsidTr="00646113">
        <w:trPr>
          <w:trHeight w:val="288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393BE26B" w14:textId="77777777" w:rsidR="00585180" w:rsidRPr="00946F51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585180" w:rsidRPr="0022631D" w14:paraId="3863A00B" w14:textId="77777777" w:rsidTr="006461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3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585180" w:rsidRPr="0022631D" w:rsidRDefault="00585180" w:rsidP="0058518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471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585180" w:rsidRPr="0022631D" w:rsidRDefault="00585180" w:rsidP="0058518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585180" w:rsidRPr="0022631D" w14:paraId="485BF528" w14:textId="77777777" w:rsidTr="00646113">
        <w:trPr>
          <w:trHeight w:val="288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60FF974B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5180" w:rsidRPr="00E56328" w14:paraId="7DB42300" w14:textId="77777777" w:rsidTr="00646113">
        <w:trPr>
          <w:trHeight w:val="3148"/>
        </w:trPr>
        <w:tc>
          <w:tcPr>
            <w:tcW w:w="10800" w:type="dxa"/>
            <w:gridSpan w:val="36"/>
            <w:shd w:val="clear" w:color="auto" w:fill="auto"/>
            <w:vAlign w:val="center"/>
          </w:tcPr>
          <w:p w14:paraId="0AD8E25E" w14:textId="51B4142C" w:rsidR="00585180" w:rsidRDefault="00585180" w:rsidP="0058518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585180" w:rsidRPr="004D078F" w:rsidRDefault="00585180" w:rsidP="0058518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585180" w:rsidRPr="004D078F" w:rsidRDefault="00585180" w:rsidP="0058518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585180" w:rsidRPr="004D078F" w:rsidRDefault="00585180" w:rsidP="0058518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585180" w:rsidRPr="004D078F" w:rsidRDefault="00585180" w:rsidP="0058518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585180" w:rsidRPr="004D078F" w:rsidRDefault="00585180" w:rsidP="0058518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585180" w:rsidRPr="004D078F" w:rsidRDefault="00585180" w:rsidP="0058518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585180" w:rsidRPr="004D078F" w:rsidRDefault="00585180" w:rsidP="0058518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09347985" w:rsidR="00585180" w:rsidRPr="00D74F9D" w:rsidRDefault="00585180" w:rsidP="0058518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F93DEE" w:rsidRPr="00F93DE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ab/>
              <w:t>art.yeghiazaryan65@gmail.com</w:t>
            </w:r>
          </w:p>
        </w:tc>
      </w:tr>
      <w:tr w:rsidR="00585180" w:rsidRPr="00E56328" w14:paraId="3CC8B38C" w14:textId="77777777" w:rsidTr="00646113">
        <w:trPr>
          <w:trHeight w:val="288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02AFA8BF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5180" w:rsidRPr="00835DE0" w14:paraId="5484FA73" w14:textId="77777777" w:rsidTr="00646113">
        <w:trPr>
          <w:trHeight w:val="475"/>
        </w:trPr>
        <w:tc>
          <w:tcPr>
            <w:tcW w:w="818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261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00D16592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Հրապարակվել է </w:t>
            </w: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gnumner.am և armeps.am կայքերում</w:t>
            </w:r>
          </w:p>
        </w:tc>
      </w:tr>
      <w:tr w:rsidR="00585180" w:rsidRPr="00835DE0" w14:paraId="5A7FED5D" w14:textId="77777777" w:rsidTr="00646113">
        <w:trPr>
          <w:trHeight w:val="288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7A66F2DC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5180" w:rsidRPr="00835DE0" w14:paraId="40B30E88" w14:textId="77777777" w:rsidTr="00F93DEE">
        <w:trPr>
          <w:trHeight w:val="427"/>
        </w:trPr>
        <w:tc>
          <w:tcPr>
            <w:tcW w:w="738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342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85180" w:rsidRPr="00835DE0" w14:paraId="541BD7F7" w14:textId="77777777" w:rsidTr="00646113">
        <w:trPr>
          <w:trHeight w:val="288"/>
        </w:trPr>
        <w:tc>
          <w:tcPr>
            <w:tcW w:w="1080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5180" w:rsidRPr="00835DE0" w14:paraId="4DE14D25" w14:textId="77777777" w:rsidTr="00646113">
        <w:trPr>
          <w:trHeight w:val="502"/>
        </w:trPr>
        <w:tc>
          <w:tcPr>
            <w:tcW w:w="809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585180" w:rsidRPr="00E56328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35DE0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270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585180" w:rsidRPr="00E56328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585180" w:rsidRPr="00835DE0" w14:paraId="1DAD5D5C" w14:textId="77777777" w:rsidTr="00646113">
        <w:trPr>
          <w:trHeight w:val="313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57597369" w14:textId="77777777" w:rsidR="00585180" w:rsidRPr="00E56328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5180" w:rsidRPr="0022631D" w14:paraId="5F667D89" w14:textId="77777777" w:rsidTr="00646113">
        <w:trPr>
          <w:trHeight w:val="322"/>
        </w:trPr>
        <w:tc>
          <w:tcPr>
            <w:tcW w:w="33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47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0200B4DF" w:rsidR="00585180" w:rsidRPr="003F3514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85180" w:rsidRPr="0022631D" w14:paraId="406B68D6" w14:textId="77777777" w:rsidTr="00646113">
        <w:trPr>
          <w:trHeight w:val="142"/>
        </w:trPr>
        <w:tc>
          <w:tcPr>
            <w:tcW w:w="10800" w:type="dxa"/>
            <w:gridSpan w:val="36"/>
            <w:shd w:val="clear" w:color="auto" w:fill="99CCFF"/>
            <w:vAlign w:val="center"/>
          </w:tcPr>
          <w:p w14:paraId="79EAD146" w14:textId="77777777" w:rsidR="00585180" w:rsidRPr="0022631D" w:rsidRDefault="00585180" w:rsidP="005851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5180" w:rsidRPr="0022631D" w14:paraId="1A2BD291" w14:textId="77777777" w:rsidTr="00646113">
        <w:trPr>
          <w:trHeight w:val="428"/>
        </w:trPr>
        <w:tc>
          <w:tcPr>
            <w:tcW w:w="10800" w:type="dxa"/>
            <w:gridSpan w:val="36"/>
            <w:shd w:val="clear" w:color="auto" w:fill="auto"/>
            <w:vAlign w:val="center"/>
          </w:tcPr>
          <w:p w14:paraId="73A19DB3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85180" w:rsidRPr="0022631D" w14:paraId="002AF1AD" w14:textId="77777777" w:rsidTr="00646113">
        <w:trPr>
          <w:trHeight w:val="268"/>
        </w:trPr>
        <w:tc>
          <w:tcPr>
            <w:tcW w:w="34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2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09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585180" w:rsidRPr="0022631D" w:rsidRDefault="00585180" w:rsidP="0058518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85180" w:rsidRPr="0022631D" w14:paraId="6C6C269C" w14:textId="77777777" w:rsidTr="00646113">
        <w:trPr>
          <w:trHeight w:val="313"/>
        </w:trPr>
        <w:tc>
          <w:tcPr>
            <w:tcW w:w="3457" w:type="dxa"/>
            <w:gridSpan w:val="8"/>
            <w:shd w:val="clear" w:color="auto" w:fill="auto"/>
            <w:vAlign w:val="center"/>
          </w:tcPr>
          <w:p w14:paraId="0A862370" w14:textId="6C9E480B" w:rsidR="00585180" w:rsidRPr="001860E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Գայանե Հակոբյան</w:t>
            </w:r>
          </w:p>
        </w:tc>
        <w:tc>
          <w:tcPr>
            <w:tcW w:w="4248" w:type="dxa"/>
            <w:gridSpan w:val="16"/>
            <w:shd w:val="clear" w:color="auto" w:fill="auto"/>
            <w:vAlign w:val="center"/>
          </w:tcPr>
          <w:p w14:paraId="570A2BE5" w14:textId="1255AC11" w:rsidR="00585180" w:rsidRPr="001860E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095" w:type="dxa"/>
            <w:gridSpan w:val="12"/>
            <w:shd w:val="clear" w:color="auto" w:fill="auto"/>
            <w:vAlign w:val="center"/>
          </w:tcPr>
          <w:p w14:paraId="3C42DEDA" w14:textId="5E526124" w:rsidR="00585180" w:rsidRPr="0022631D" w:rsidRDefault="00585180" w:rsidP="005851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1160E497" w14:textId="0ADD7033" w:rsidR="001021B0" w:rsidRPr="001A1999" w:rsidRDefault="006D2D6C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20"/>
          <w:lang w:val="af-ZA"/>
        </w:rPr>
        <w:t>ՀՀ</w:t>
      </w:r>
      <w:r w:rsidRPr="004C1084">
        <w:rPr>
          <w:rFonts w:ascii="GHEA Grapalat" w:hAnsi="GHEA Grapalat" w:cs="Sylfaen"/>
          <w:color w:val="000000"/>
          <w:sz w:val="20"/>
          <w:lang w:val="af-ZA"/>
        </w:rPr>
        <w:t xml:space="preserve"> քաղաքաշինության կոմիտեն</w:t>
      </w:r>
    </w:p>
    <w:sectPr w:rsidR="001021B0" w:rsidRPr="001A1999" w:rsidSect="005D4AFE">
      <w:pgSz w:w="11907" w:h="16840" w:code="9"/>
      <w:pgMar w:top="630" w:right="837" w:bottom="18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8AD4D" w14:textId="77777777" w:rsidR="00645578" w:rsidRDefault="00645578" w:rsidP="0022631D">
      <w:pPr>
        <w:spacing w:before="0" w:after="0"/>
      </w:pPr>
      <w:r>
        <w:separator/>
      </w:r>
    </w:p>
  </w:endnote>
  <w:endnote w:type="continuationSeparator" w:id="0">
    <w:p w14:paraId="4C946F32" w14:textId="77777777" w:rsidR="00645578" w:rsidRDefault="0064557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C4E61" w14:textId="77777777" w:rsidR="00645578" w:rsidRDefault="00645578" w:rsidP="0022631D">
      <w:pPr>
        <w:spacing w:before="0" w:after="0"/>
      </w:pPr>
      <w:r>
        <w:separator/>
      </w:r>
    </w:p>
  </w:footnote>
  <w:footnote w:type="continuationSeparator" w:id="0">
    <w:p w14:paraId="54B6B60C" w14:textId="77777777" w:rsidR="00645578" w:rsidRDefault="00645578" w:rsidP="0022631D">
      <w:pPr>
        <w:spacing w:before="0" w:after="0"/>
      </w:pPr>
      <w:r>
        <w:continuationSeparator/>
      </w:r>
    </w:p>
  </w:footnote>
  <w:footnote w:id="1">
    <w:p w14:paraId="73E33F31" w14:textId="77777777" w:rsidR="00E349BA" w:rsidRPr="001F31D5" w:rsidRDefault="00E349BA" w:rsidP="005C2569">
      <w:pPr>
        <w:pStyle w:val="FootnoteText"/>
        <w:ind w:left="-270"/>
        <w:rPr>
          <w:rFonts w:ascii="Sylfaen" w:hAnsi="Sylfaen" w:cs="Sylfaen"/>
          <w:sz w:val="12"/>
          <w:szCs w:val="12"/>
        </w:rPr>
      </w:pPr>
      <w:r w:rsidRPr="001F31D5">
        <w:rPr>
          <w:rFonts w:ascii="GHEA Grapalat" w:hAnsi="GHEA Grapalat"/>
          <w:bCs/>
          <w:sz w:val="10"/>
          <w:szCs w:val="10"/>
        </w:rPr>
        <w:footnoteRef/>
      </w:r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Լրացվում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է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կնքված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</w:p>
  </w:footnote>
  <w:footnote w:id="2">
    <w:p w14:paraId="6FFC4258" w14:textId="77777777" w:rsidR="00E349BA" w:rsidRPr="001F31D5" w:rsidRDefault="00E349BA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 w:cs="Sylfaen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proofErr w:type="gram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proofErr w:type="gramEnd"/>
      <w:r w:rsidRPr="001F31D5">
        <w:rPr>
          <w:rFonts w:ascii="GHEA Grapalat" w:hAnsi="GHEA Grapalat"/>
          <w:bCs/>
          <w:sz w:val="12"/>
          <w:szCs w:val="12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1F31D5" w:rsidRDefault="0022631D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>Եթե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տվյալ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 նախատեսված են ավելի քիչ միջոցներ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չափը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4">
    <w:p w14:paraId="3C2506E4" w14:textId="77777777" w:rsidR="00140411" w:rsidRPr="001F31D5" w:rsidRDefault="00140411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Նշվում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են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հրավերում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կատարված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բոլոր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փոփոխությունների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ամսաթվերը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5">
    <w:p w14:paraId="24831349" w14:textId="77777777" w:rsidR="004E4BB7" w:rsidRPr="001F31D5" w:rsidRDefault="004E4BB7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lang w:val="es-ES"/>
        </w:rPr>
      </w:pPr>
      <w:r w:rsidRPr="001F31D5">
        <w:rPr>
          <w:rStyle w:val="FootnoteReference"/>
          <w:rFonts w:ascii="GHEA Grapalat" w:hAnsi="GHEA Grapalat"/>
          <w:sz w:val="12"/>
          <w:szCs w:val="12"/>
        </w:rPr>
        <w:footnoteRef/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Եթե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առաջարկվ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գները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ներկայացված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են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երկու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կամ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ավելի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արժույթներով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ապա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գները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հրավերով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սահմանած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փոխարժեքով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`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Հայաստանի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Հանրապետության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դրամով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6">
    <w:p w14:paraId="771AD2C5" w14:textId="77777777" w:rsidR="00EF7226" w:rsidRPr="002611CD" w:rsidRDefault="00EF7226" w:rsidP="0022631D">
      <w:pPr>
        <w:pStyle w:val="FootnoteText"/>
        <w:jc w:val="both"/>
        <w:rPr>
          <w:rFonts w:ascii="GHEA Grapalat" w:hAnsi="GHEA Grapalat"/>
          <w:bCs/>
          <w:sz w:val="12"/>
          <w:szCs w:val="12"/>
          <w:lang w:val="es-ES"/>
        </w:rPr>
      </w:pPr>
      <w:r w:rsidRPr="002611CD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Եթե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պայմանագիրը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կնքվելու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2611CD">
        <w:rPr>
          <w:rFonts w:ascii="GHEA Grapalat" w:hAnsi="GHEA Grapalat"/>
          <w:bCs/>
          <w:sz w:val="12"/>
          <w:szCs w:val="12"/>
        </w:rPr>
        <w:t>է</w:t>
      </w:r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արժեքով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սակայն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են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ավելի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քիչ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միջոցներ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ապա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գինը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proofErr w:type="gramStart"/>
      <w:r w:rsidRPr="002611CD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 «</w:t>
      </w:r>
      <w:proofErr w:type="spellStart"/>
      <w:proofErr w:type="gramEnd"/>
      <w:r w:rsidRPr="002611CD">
        <w:rPr>
          <w:rFonts w:ascii="GHEA Grapalat" w:hAnsi="GHEA Grapalat"/>
          <w:bCs/>
          <w:sz w:val="12"/>
          <w:szCs w:val="12"/>
          <w:lang w:val="es-ES"/>
        </w:rPr>
        <w:t>Ընդհանուր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»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առկա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ֆինանսական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միջոցների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մասով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>` «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Առկա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ֆինանսական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միջոցներով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»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սյունյակում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7">
    <w:p w14:paraId="5B14D78F" w14:textId="77777777" w:rsidR="00585180" w:rsidRPr="002611CD" w:rsidRDefault="00585180" w:rsidP="0022631D">
      <w:pPr>
        <w:pStyle w:val="FootnoteText"/>
        <w:rPr>
          <w:rFonts w:ascii="GHEA Grapalat" w:hAnsi="GHEA Grapalat"/>
          <w:sz w:val="12"/>
          <w:szCs w:val="12"/>
          <w:lang w:val="es-ES"/>
        </w:rPr>
      </w:pPr>
      <w:r w:rsidRPr="002611CD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Չի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լրացվում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եթե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պայմանագրի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կողմ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2611CD">
        <w:rPr>
          <w:rFonts w:ascii="GHEA Grapalat" w:hAnsi="GHEA Grapalat"/>
          <w:bCs/>
          <w:sz w:val="12"/>
          <w:szCs w:val="12"/>
        </w:rPr>
        <w:t>է</w:t>
      </w:r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հանդիսանում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Հայաստանի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Հանրապետությունում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հարկ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վճարողի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հաշվարկային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հաշիվ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չունեցող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2611CD">
        <w:rPr>
          <w:rFonts w:ascii="GHEA Grapalat" w:hAnsi="GHEA Grapalat"/>
          <w:bCs/>
          <w:sz w:val="12"/>
          <w:szCs w:val="12"/>
        </w:rPr>
        <w:t>անձը</w:t>
      </w:r>
      <w:proofErr w:type="spellEnd"/>
      <w:r w:rsidRPr="002611CD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44EA8"/>
    <w:rsid w:val="00044F5E"/>
    <w:rsid w:val="00045515"/>
    <w:rsid w:val="00046CCF"/>
    <w:rsid w:val="00051553"/>
    <w:rsid w:val="00051694"/>
    <w:rsid w:val="00051ECE"/>
    <w:rsid w:val="000522FE"/>
    <w:rsid w:val="0007090E"/>
    <w:rsid w:val="00073D66"/>
    <w:rsid w:val="0008025C"/>
    <w:rsid w:val="00092BEA"/>
    <w:rsid w:val="000A3D9B"/>
    <w:rsid w:val="000B0199"/>
    <w:rsid w:val="000C203A"/>
    <w:rsid w:val="000D2ADD"/>
    <w:rsid w:val="000E1357"/>
    <w:rsid w:val="000E4FF1"/>
    <w:rsid w:val="000E5515"/>
    <w:rsid w:val="000F1BB0"/>
    <w:rsid w:val="000F376D"/>
    <w:rsid w:val="001017D5"/>
    <w:rsid w:val="001021B0"/>
    <w:rsid w:val="00105507"/>
    <w:rsid w:val="00112083"/>
    <w:rsid w:val="00122D4F"/>
    <w:rsid w:val="00137657"/>
    <w:rsid w:val="0013776F"/>
    <w:rsid w:val="00140411"/>
    <w:rsid w:val="00166DF1"/>
    <w:rsid w:val="0018069F"/>
    <w:rsid w:val="0018422F"/>
    <w:rsid w:val="001860ED"/>
    <w:rsid w:val="001A1999"/>
    <w:rsid w:val="001A5BD1"/>
    <w:rsid w:val="001A5C7F"/>
    <w:rsid w:val="001C1BE1"/>
    <w:rsid w:val="001C1C02"/>
    <w:rsid w:val="001C4759"/>
    <w:rsid w:val="001C4D89"/>
    <w:rsid w:val="001D7CEF"/>
    <w:rsid w:val="001E0091"/>
    <w:rsid w:val="001F31D5"/>
    <w:rsid w:val="002026BE"/>
    <w:rsid w:val="00207DCA"/>
    <w:rsid w:val="002126ED"/>
    <w:rsid w:val="0022631D"/>
    <w:rsid w:val="00230D59"/>
    <w:rsid w:val="0023564D"/>
    <w:rsid w:val="002430EB"/>
    <w:rsid w:val="0024553A"/>
    <w:rsid w:val="00245FE1"/>
    <w:rsid w:val="00251652"/>
    <w:rsid w:val="002611CD"/>
    <w:rsid w:val="002625B0"/>
    <w:rsid w:val="00291CC0"/>
    <w:rsid w:val="00292E08"/>
    <w:rsid w:val="00295B92"/>
    <w:rsid w:val="002A6471"/>
    <w:rsid w:val="002B2909"/>
    <w:rsid w:val="002C065E"/>
    <w:rsid w:val="002D12A5"/>
    <w:rsid w:val="002D55BC"/>
    <w:rsid w:val="002E463F"/>
    <w:rsid w:val="002E4E6F"/>
    <w:rsid w:val="002E7FD1"/>
    <w:rsid w:val="002F16CC"/>
    <w:rsid w:val="002F1FEB"/>
    <w:rsid w:val="002F4DD1"/>
    <w:rsid w:val="0030496C"/>
    <w:rsid w:val="00305902"/>
    <w:rsid w:val="00313FDF"/>
    <w:rsid w:val="00335CA2"/>
    <w:rsid w:val="00337D4E"/>
    <w:rsid w:val="00341A96"/>
    <w:rsid w:val="00346429"/>
    <w:rsid w:val="00352195"/>
    <w:rsid w:val="003530B0"/>
    <w:rsid w:val="003548F5"/>
    <w:rsid w:val="00362227"/>
    <w:rsid w:val="00371B1D"/>
    <w:rsid w:val="00375892"/>
    <w:rsid w:val="003810D1"/>
    <w:rsid w:val="003A1133"/>
    <w:rsid w:val="003A4ED7"/>
    <w:rsid w:val="003B0E9F"/>
    <w:rsid w:val="003B2758"/>
    <w:rsid w:val="003C4948"/>
    <w:rsid w:val="003E0727"/>
    <w:rsid w:val="003E3D40"/>
    <w:rsid w:val="003E6978"/>
    <w:rsid w:val="003F3514"/>
    <w:rsid w:val="003F5583"/>
    <w:rsid w:val="00402879"/>
    <w:rsid w:val="00422BA1"/>
    <w:rsid w:val="00433E3C"/>
    <w:rsid w:val="00437D52"/>
    <w:rsid w:val="004410CA"/>
    <w:rsid w:val="00455359"/>
    <w:rsid w:val="00457A4D"/>
    <w:rsid w:val="00472069"/>
    <w:rsid w:val="00474C2F"/>
    <w:rsid w:val="004764CD"/>
    <w:rsid w:val="004812B1"/>
    <w:rsid w:val="004875E0"/>
    <w:rsid w:val="004A1EF5"/>
    <w:rsid w:val="004B01C8"/>
    <w:rsid w:val="004B4A29"/>
    <w:rsid w:val="004B6AED"/>
    <w:rsid w:val="004C1084"/>
    <w:rsid w:val="004C3756"/>
    <w:rsid w:val="004C5687"/>
    <w:rsid w:val="004D078F"/>
    <w:rsid w:val="004D1235"/>
    <w:rsid w:val="004E35B3"/>
    <w:rsid w:val="004E376E"/>
    <w:rsid w:val="004E4BB7"/>
    <w:rsid w:val="004F4924"/>
    <w:rsid w:val="004F73CB"/>
    <w:rsid w:val="00503BCC"/>
    <w:rsid w:val="00505106"/>
    <w:rsid w:val="00513E81"/>
    <w:rsid w:val="00517190"/>
    <w:rsid w:val="00524F4E"/>
    <w:rsid w:val="00534FAA"/>
    <w:rsid w:val="00540D7B"/>
    <w:rsid w:val="00546023"/>
    <w:rsid w:val="00547170"/>
    <w:rsid w:val="00550CE8"/>
    <w:rsid w:val="005737F9"/>
    <w:rsid w:val="00574FC3"/>
    <w:rsid w:val="00577F46"/>
    <w:rsid w:val="00584232"/>
    <w:rsid w:val="00585180"/>
    <w:rsid w:val="00585FFC"/>
    <w:rsid w:val="005A35DB"/>
    <w:rsid w:val="005B4A3A"/>
    <w:rsid w:val="005C2569"/>
    <w:rsid w:val="005D4AFE"/>
    <w:rsid w:val="005D5FBD"/>
    <w:rsid w:val="005F07FC"/>
    <w:rsid w:val="006076B8"/>
    <w:rsid w:val="00607C9A"/>
    <w:rsid w:val="0061377C"/>
    <w:rsid w:val="0062010A"/>
    <w:rsid w:val="00625B39"/>
    <w:rsid w:val="00635735"/>
    <w:rsid w:val="006414BB"/>
    <w:rsid w:val="00642C54"/>
    <w:rsid w:val="00645578"/>
    <w:rsid w:val="00646113"/>
    <w:rsid w:val="00646760"/>
    <w:rsid w:val="006734C3"/>
    <w:rsid w:val="006740D2"/>
    <w:rsid w:val="00690ECB"/>
    <w:rsid w:val="006934BF"/>
    <w:rsid w:val="00693818"/>
    <w:rsid w:val="006966D8"/>
    <w:rsid w:val="006A38B4"/>
    <w:rsid w:val="006B2E21"/>
    <w:rsid w:val="006B4454"/>
    <w:rsid w:val="006B74B1"/>
    <w:rsid w:val="006C0266"/>
    <w:rsid w:val="006C2CB9"/>
    <w:rsid w:val="006C59F6"/>
    <w:rsid w:val="006D03BB"/>
    <w:rsid w:val="006D1F6D"/>
    <w:rsid w:val="006D2D6C"/>
    <w:rsid w:val="006E0D92"/>
    <w:rsid w:val="006E1A83"/>
    <w:rsid w:val="006E44E3"/>
    <w:rsid w:val="006F2779"/>
    <w:rsid w:val="00703732"/>
    <w:rsid w:val="007060FC"/>
    <w:rsid w:val="007060FE"/>
    <w:rsid w:val="00714DF2"/>
    <w:rsid w:val="00725DE5"/>
    <w:rsid w:val="00736E1B"/>
    <w:rsid w:val="00737922"/>
    <w:rsid w:val="00745092"/>
    <w:rsid w:val="00750900"/>
    <w:rsid w:val="0075472C"/>
    <w:rsid w:val="00755D4F"/>
    <w:rsid w:val="007670BC"/>
    <w:rsid w:val="007732E7"/>
    <w:rsid w:val="00781FC4"/>
    <w:rsid w:val="00786144"/>
    <w:rsid w:val="0078682E"/>
    <w:rsid w:val="00792ABE"/>
    <w:rsid w:val="00795BD5"/>
    <w:rsid w:val="007A48C2"/>
    <w:rsid w:val="007D57AE"/>
    <w:rsid w:val="007D7E69"/>
    <w:rsid w:val="007E7BA3"/>
    <w:rsid w:val="007F1121"/>
    <w:rsid w:val="00806F27"/>
    <w:rsid w:val="0081267C"/>
    <w:rsid w:val="0081420B"/>
    <w:rsid w:val="00832330"/>
    <w:rsid w:val="00834A6C"/>
    <w:rsid w:val="00835DE0"/>
    <w:rsid w:val="00852DD9"/>
    <w:rsid w:val="00887E13"/>
    <w:rsid w:val="008C4E62"/>
    <w:rsid w:val="008E2ED2"/>
    <w:rsid w:val="008E493A"/>
    <w:rsid w:val="008F1415"/>
    <w:rsid w:val="009011D3"/>
    <w:rsid w:val="00902711"/>
    <w:rsid w:val="00917E9A"/>
    <w:rsid w:val="009211AB"/>
    <w:rsid w:val="0092649F"/>
    <w:rsid w:val="009329F2"/>
    <w:rsid w:val="00937739"/>
    <w:rsid w:val="00946F51"/>
    <w:rsid w:val="00954836"/>
    <w:rsid w:val="00963C48"/>
    <w:rsid w:val="009646D0"/>
    <w:rsid w:val="009704DF"/>
    <w:rsid w:val="00973F40"/>
    <w:rsid w:val="009815E1"/>
    <w:rsid w:val="00982AAA"/>
    <w:rsid w:val="009845F1"/>
    <w:rsid w:val="009B280A"/>
    <w:rsid w:val="009B7FCF"/>
    <w:rsid w:val="009C5E0F"/>
    <w:rsid w:val="009C69A9"/>
    <w:rsid w:val="009D076C"/>
    <w:rsid w:val="009D258E"/>
    <w:rsid w:val="009D4919"/>
    <w:rsid w:val="009D6B2F"/>
    <w:rsid w:val="009D7F94"/>
    <w:rsid w:val="009E495C"/>
    <w:rsid w:val="009E75FF"/>
    <w:rsid w:val="00A07380"/>
    <w:rsid w:val="00A263B8"/>
    <w:rsid w:val="00A269F1"/>
    <w:rsid w:val="00A306F5"/>
    <w:rsid w:val="00A31820"/>
    <w:rsid w:val="00A502FE"/>
    <w:rsid w:val="00A84903"/>
    <w:rsid w:val="00AA32E4"/>
    <w:rsid w:val="00AC1E97"/>
    <w:rsid w:val="00AC1E9F"/>
    <w:rsid w:val="00AC4A15"/>
    <w:rsid w:val="00AC7223"/>
    <w:rsid w:val="00AD07B9"/>
    <w:rsid w:val="00AD59DC"/>
    <w:rsid w:val="00AD6A08"/>
    <w:rsid w:val="00AD77BC"/>
    <w:rsid w:val="00AE4BAC"/>
    <w:rsid w:val="00AF2B21"/>
    <w:rsid w:val="00B03CDB"/>
    <w:rsid w:val="00B06059"/>
    <w:rsid w:val="00B11B36"/>
    <w:rsid w:val="00B25507"/>
    <w:rsid w:val="00B30117"/>
    <w:rsid w:val="00B5298C"/>
    <w:rsid w:val="00B57AAC"/>
    <w:rsid w:val="00B63A57"/>
    <w:rsid w:val="00B75762"/>
    <w:rsid w:val="00B75FD1"/>
    <w:rsid w:val="00B84FF1"/>
    <w:rsid w:val="00B91DE2"/>
    <w:rsid w:val="00B94729"/>
    <w:rsid w:val="00B94EA2"/>
    <w:rsid w:val="00BA03B0"/>
    <w:rsid w:val="00BA2A96"/>
    <w:rsid w:val="00BA75F3"/>
    <w:rsid w:val="00BB0A93"/>
    <w:rsid w:val="00BB4CAB"/>
    <w:rsid w:val="00BD3D4E"/>
    <w:rsid w:val="00BD4637"/>
    <w:rsid w:val="00BE104B"/>
    <w:rsid w:val="00BE6C7A"/>
    <w:rsid w:val="00BF1465"/>
    <w:rsid w:val="00BF4745"/>
    <w:rsid w:val="00C03E0D"/>
    <w:rsid w:val="00C055E6"/>
    <w:rsid w:val="00C150F0"/>
    <w:rsid w:val="00C52267"/>
    <w:rsid w:val="00C56D78"/>
    <w:rsid w:val="00C6557D"/>
    <w:rsid w:val="00C75424"/>
    <w:rsid w:val="00C77F9D"/>
    <w:rsid w:val="00C84DF7"/>
    <w:rsid w:val="00C87BEB"/>
    <w:rsid w:val="00C95E76"/>
    <w:rsid w:val="00C96337"/>
    <w:rsid w:val="00C96BED"/>
    <w:rsid w:val="00CA092C"/>
    <w:rsid w:val="00CA4616"/>
    <w:rsid w:val="00CB0BF9"/>
    <w:rsid w:val="00CB44D2"/>
    <w:rsid w:val="00CC1F23"/>
    <w:rsid w:val="00CD48EB"/>
    <w:rsid w:val="00CF1F70"/>
    <w:rsid w:val="00D031BD"/>
    <w:rsid w:val="00D06D32"/>
    <w:rsid w:val="00D16092"/>
    <w:rsid w:val="00D255EC"/>
    <w:rsid w:val="00D350DE"/>
    <w:rsid w:val="00D36189"/>
    <w:rsid w:val="00D43D46"/>
    <w:rsid w:val="00D530FD"/>
    <w:rsid w:val="00D533BD"/>
    <w:rsid w:val="00D551B9"/>
    <w:rsid w:val="00D63FC9"/>
    <w:rsid w:val="00D74F9D"/>
    <w:rsid w:val="00D80C64"/>
    <w:rsid w:val="00D971D4"/>
    <w:rsid w:val="00DA4848"/>
    <w:rsid w:val="00DC048F"/>
    <w:rsid w:val="00DC0C16"/>
    <w:rsid w:val="00DC48D8"/>
    <w:rsid w:val="00DD53F8"/>
    <w:rsid w:val="00DE06F1"/>
    <w:rsid w:val="00DE6AB0"/>
    <w:rsid w:val="00DF5A30"/>
    <w:rsid w:val="00E06AD1"/>
    <w:rsid w:val="00E2068E"/>
    <w:rsid w:val="00E243EA"/>
    <w:rsid w:val="00E3116C"/>
    <w:rsid w:val="00E33A25"/>
    <w:rsid w:val="00E349BA"/>
    <w:rsid w:val="00E4188B"/>
    <w:rsid w:val="00E41F2A"/>
    <w:rsid w:val="00E43B18"/>
    <w:rsid w:val="00E46AA5"/>
    <w:rsid w:val="00E509F1"/>
    <w:rsid w:val="00E512EA"/>
    <w:rsid w:val="00E54C4D"/>
    <w:rsid w:val="00E56328"/>
    <w:rsid w:val="00E57452"/>
    <w:rsid w:val="00E75656"/>
    <w:rsid w:val="00E93982"/>
    <w:rsid w:val="00EA01A2"/>
    <w:rsid w:val="00EA568C"/>
    <w:rsid w:val="00EA767F"/>
    <w:rsid w:val="00EB3417"/>
    <w:rsid w:val="00EB3FD0"/>
    <w:rsid w:val="00EB59EE"/>
    <w:rsid w:val="00EC185C"/>
    <w:rsid w:val="00EC1E12"/>
    <w:rsid w:val="00EC51B2"/>
    <w:rsid w:val="00ED325E"/>
    <w:rsid w:val="00ED4F28"/>
    <w:rsid w:val="00EF16D0"/>
    <w:rsid w:val="00EF7226"/>
    <w:rsid w:val="00F10AFE"/>
    <w:rsid w:val="00F137C6"/>
    <w:rsid w:val="00F25179"/>
    <w:rsid w:val="00F31004"/>
    <w:rsid w:val="00F35D64"/>
    <w:rsid w:val="00F47598"/>
    <w:rsid w:val="00F53A74"/>
    <w:rsid w:val="00F53C33"/>
    <w:rsid w:val="00F5430B"/>
    <w:rsid w:val="00F54770"/>
    <w:rsid w:val="00F64167"/>
    <w:rsid w:val="00F6673B"/>
    <w:rsid w:val="00F674B9"/>
    <w:rsid w:val="00F70583"/>
    <w:rsid w:val="00F71FD5"/>
    <w:rsid w:val="00F72FCB"/>
    <w:rsid w:val="00F77AAD"/>
    <w:rsid w:val="00F85650"/>
    <w:rsid w:val="00F916C4"/>
    <w:rsid w:val="00F92BBA"/>
    <w:rsid w:val="00F93DEE"/>
    <w:rsid w:val="00F979BF"/>
    <w:rsid w:val="00FA0328"/>
    <w:rsid w:val="00FA363E"/>
    <w:rsid w:val="00FA7D91"/>
    <w:rsid w:val="00FB097B"/>
    <w:rsid w:val="00FD3670"/>
    <w:rsid w:val="00FE2C58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620DA264-1FE9-4C85-A6A1-789E67D2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,List_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832330"/>
    <w:rPr>
      <w:b/>
      <w:bCs/>
    </w:rPr>
  </w:style>
  <w:style w:type="paragraph" w:customStyle="1" w:styleId="Default">
    <w:name w:val="Default"/>
    <w:rsid w:val="006B74B1"/>
    <w:pPr>
      <w:autoSpaceDE w:val="0"/>
      <w:autoSpaceDN w:val="0"/>
      <w:adjustRightInd w:val="0"/>
      <w:spacing w:after="0" w:line="240" w:lineRule="auto"/>
    </w:pPr>
    <w:rPr>
      <w:rFonts w:ascii="Arial LatArm" w:hAnsi="Arial LatArm" w:cs="Arial LatArm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07380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07380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qFormat/>
    <w:locked/>
    <w:rsid w:val="00D533BD"/>
    <w:rPr>
      <w:rFonts w:ascii="Calibri" w:eastAsia="Calibri" w:hAnsi="Calibri" w:cs="Times New Roman"/>
    </w:rPr>
  </w:style>
  <w:style w:type="character" w:styleId="Emphasis">
    <w:name w:val="Emphasis"/>
    <w:qFormat/>
    <w:rsid w:val="00BB4CAB"/>
    <w:rPr>
      <w:i/>
      <w:iCs/>
    </w:rPr>
  </w:style>
  <w:style w:type="character" w:styleId="Hyperlink">
    <w:name w:val="Hyperlink"/>
    <w:basedOn w:val="DefaultParagraphFont"/>
    <w:uiPriority w:val="99"/>
    <w:unhideWhenUsed/>
    <w:rsid w:val="00DC48D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35B3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611C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611CD"/>
    <w:rPr>
      <w:rFonts w:ascii="Calibri" w:eastAsia="Calibri" w:hAnsi="Calibri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646113"/>
    <w:pPr>
      <w:spacing w:before="0" w:after="0"/>
      <w:ind w:left="0" w:firstLine="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646113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7DF7C-E26B-47A4-9827-2C9F0AAE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Vardanyan</dc:creator>
  <cp:keywords>https://mul2-minfin.gov.am/tasks/335569/oneclick/0c33142ec370ebb2c84c6dc51082936d064fc1952547b901c58d58baf6b2c4d7.docx?token=86a94a82e5ae5972ffcf6e3bfab8dab3</cp:keywords>
  <dc:description/>
  <cp:lastModifiedBy>Gayane Hakobyan</cp:lastModifiedBy>
  <cp:revision>168</cp:revision>
  <cp:lastPrinted>2025-12-15T13:29:00Z</cp:lastPrinted>
  <dcterms:created xsi:type="dcterms:W3CDTF">2021-06-28T12:08:00Z</dcterms:created>
  <dcterms:modified xsi:type="dcterms:W3CDTF">2025-12-15T13:31:00Z</dcterms:modified>
</cp:coreProperties>
</file>